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2" w:rsidRPr="00B833F8" w:rsidRDefault="005A6172" w:rsidP="002048B6">
      <w:pPr>
        <w:pStyle w:val="ConsPlusNormal"/>
        <w:ind w:firstLine="709"/>
        <w:jc w:val="center"/>
        <w:rPr>
          <w:rStyle w:val="blk"/>
        </w:rPr>
      </w:pP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A00B4D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0B4D">
        <w:rPr>
          <w:b/>
        </w:rPr>
        <w:t xml:space="preserve"> на территории городского округа Домодедово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4B73BA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B542E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D2532">
            <w:rPr>
              <w:b/>
              <w:noProof/>
            </w:rPr>
            <w:t>8</w:t>
          </w:r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B73BA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B542ED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B542ED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B542E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B542E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B542ED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B542E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B542ED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B542ED">
        <w:rPr>
          <w:sz w:val="24"/>
          <w:szCs w:val="24"/>
        </w:rPr>
        <w:t>городского округа Домодедово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>Московской области»,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="00033949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</w:t>
      </w:r>
      <w:r w:rsidR="00D60E2E">
        <w:rPr>
          <w:sz w:val="24"/>
          <w:szCs w:val="24"/>
        </w:rPr>
        <w:t>«</w:t>
      </w:r>
      <w:r w:rsidR="00EA5E64" w:rsidRPr="00613DDD">
        <w:rPr>
          <w:sz w:val="24"/>
          <w:szCs w:val="24"/>
        </w:rPr>
        <w:t>Интернет</w:t>
      </w:r>
      <w:r w:rsidR="00D60E2E">
        <w:rPr>
          <w:sz w:val="24"/>
          <w:szCs w:val="24"/>
        </w:rPr>
        <w:t>»</w:t>
      </w:r>
      <w:r w:rsidR="00EA5E64" w:rsidRPr="00613DDD">
        <w:rPr>
          <w:sz w:val="24"/>
          <w:szCs w:val="24"/>
        </w:rPr>
        <w:t>)</w:t>
      </w:r>
      <w:r w:rsidR="00115D42">
        <w:rPr>
          <w:sz w:val="24"/>
          <w:szCs w:val="24"/>
        </w:rPr>
        <w:t xml:space="preserve"> </w:t>
      </w:r>
      <w:r w:rsidR="00B542ED">
        <w:rPr>
          <w:sz w:val="24"/>
          <w:szCs w:val="24"/>
          <w:lang w:val="en-US"/>
        </w:rPr>
        <w:t>www</w:t>
      </w:r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domod</w:t>
      </w:r>
      <w:proofErr w:type="spellEnd"/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ru</w:t>
      </w:r>
      <w:proofErr w:type="spellEnd"/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</w:t>
      </w:r>
      <w:r w:rsidR="00C543B6">
        <w:rPr>
          <w:sz w:val="24"/>
          <w:szCs w:val="24"/>
        </w:rPr>
        <w:t>«</w:t>
      </w:r>
      <w:r w:rsidR="007B5E66" w:rsidRPr="00613DDD">
        <w:rPr>
          <w:sz w:val="24"/>
          <w:szCs w:val="24"/>
        </w:rPr>
        <w:t>Интернет</w:t>
      </w:r>
      <w:r w:rsidR="00C543B6">
        <w:rPr>
          <w:sz w:val="24"/>
          <w:szCs w:val="24"/>
        </w:rPr>
        <w:t>»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EB32CA">
        <w:rPr>
          <w:sz w:val="24"/>
          <w:szCs w:val="24"/>
        </w:rPr>
        <w:t xml:space="preserve"> </w:t>
      </w:r>
      <w:r w:rsidR="00EB32CA">
        <w:rPr>
          <w:sz w:val="24"/>
          <w:szCs w:val="24"/>
        </w:rPr>
        <w:t>городского округа Домодедово</w:t>
      </w:r>
      <w:r w:rsidR="005D58DD" w:rsidRPr="00840B1C">
        <w:rPr>
          <w:sz w:val="24"/>
          <w:szCs w:val="24"/>
        </w:rPr>
        <w:t>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</w:t>
      </w:r>
      <w:r w:rsidR="00E70C30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E70C30">
        <w:rPr>
          <w:sz w:val="24"/>
          <w:szCs w:val="24"/>
        </w:rPr>
        <w:t xml:space="preserve">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посредством телефонной и факсимильной связи;</w:t>
      </w:r>
    </w:p>
    <w:p w:rsidR="00F506F2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E6FB8" w:rsidRPr="00613DDD">
        <w:rPr>
          <w:sz w:val="24"/>
          <w:szCs w:val="24"/>
        </w:rPr>
        <w:t xml:space="preserve">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</w:t>
      </w:r>
      <w:r w:rsidR="00E70C30">
        <w:rPr>
          <w:sz w:val="24"/>
          <w:szCs w:val="24"/>
        </w:rPr>
        <w:t xml:space="preserve">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E6FB8" w:rsidRPr="00613DDD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 xml:space="preserve">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</w:t>
      </w:r>
      <w:r w:rsidR="00A00B4D">
        <w:rPr>
          <w:sz w:val="24"/>
          <w:szCs w:val="24"/>
        </w:rPr>
        <w:t xml:space="preserve"> 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AC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 </w:t>
      </w:r>
      <w:r w:rsidR="001E6FB8" w:rsidRPr="00613DDD">
        <w:rPr>
          <w:sz w:val="24"/>
          <w:szCs w:val="24"/>
        </w:rPr>
        <w:t xml:space="preserve">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>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 xml:space="preserve">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B542E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proofErr w:type="gramStart"/>
      <w:r w:rsidR="001E6FB8" w:rsidRPr="00613DDD">
        <w:rPr>
          <w:sz w:val="24"/>
          <w:szCs w:val="24"/>
        </w:rPr>
        <w:t>предоставляющих</w:t>
      </w:r>
      <w:proofErr w:type="gramEnd"/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 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4B2691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>РПГУ,</w:t>
      </w:r>
      <w:r w:rsidR="00A00B4D">
        <w:rPr>
          <w:sz w:val="24"/>
          <w:szCs w:val="24"/>
        </w:rPr>
        <w:t xml:space="preserve"> официальном </w:t>
      </w:r>
      <w:r w:rsidR="00B75BD0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B542ED">
        <w:rPr>
          <w:sz w:val="24"/>
          <w:szCs w:val="24"/>
        </w:rPr>
        <w:t>городского округа Домодедово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  <w:r w:rsidR="00B542E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542E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B542E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B542ED">
        <w:rPr>
          <w:sz w:val="24"/>
          <w:szCs w:val="24"/>
        </w:rPr>
        <w:t xml:space="preserve">– </w:t>
      </w:r>
      <w:r w:rsidR="00B542ED" w:rsidRPr="00B542ED">
        <w:rPr>
          <w:sz w:val="24"/>
          <w:szCs w:val="24"/>
        </w:rPr>
        <w:t>Отдел сферы обращения</w:t>
      </w:r>
      <w:r w:rsidR="005A6172" w:rsidRPr="00B542E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Перечня услуг, которые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B542E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 xml:space="preserve">Службой главного </w:t>
      </w:r>
      <w:r w:rsidR="00B542ED" w:rsidRPr="00B542ED">
        <w:rPr>
          <w:sz w:val="24"/>
          <w:szCs w:val="24"/>
        </w:rPr>
        <w:t>архитектора</w:t>
      </w:r>
      <w:r w:rsidR="00A3415D" w:rsidRPr="00B542ED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</w:t>
      </w:r>
      <w:proofErr w:type="gramStart"/>
      <w:r w:rsidRPr="00613DDD">
        <w:rPr>
          <w:sz w:val="24"/>
          <w:szCs w:val="24"/>
        </w:rPr>
        <w:t xml:space="preserve">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>и подписывается</w:t>
      </w:r>
      <w:proofErr w:type="gramEnd"/>
      <w:r w:rsidR="00CE0B1A" w:rsidRPr="00613DDD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4B2691" w:rsidRDefault="004B26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</w:t>
      </w:r>
      <w:r w:rsidR="00A00B4D">
        <w:rPr>
          <w:sz w:val="24"/>
          <w:szCs w:val="24"/>
          <w:lang w:eastAsia="ar-SA"/>
        </w:rPr>
        <w:t xml:space="preserve">официально </w:t>
      </w:r>
      <w:r w:rsidRPr="00BB71CE">
        <w:rPr>
          <w:sz w:val="24"/>
          <w:szCs w:val="24"/>
          <w:lang w:eastAsia="ar-SA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B542ED">
        <w:rPr>
          <w:sz w:val="24"/>
          <w:szCs w:val="24"/>
          <w:lang w:eastAsia="ar-SA"/>
        </w:rPr>
        <w:t xml:space="preserve">Потребительский </w:t>
      </w:r>
      <w:r w:rsidR="00062FC3">
        <w:rPr>
          <w:sz w:val="24"/>
          <w:szCs w:val="24"/>
          <w:lang w:eastAsia="ar-SA"/>
        </w:rPr>
        <w:t>рынок и реклама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062FC3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</w:t>
      </w:r>
      <w:proofErr w:type="gramStart"/>
      <w:r w:rsidR="00CD6BAF" w:rsidRPr="00613DDD">
        <w:rPr>
          <w:sz w:val="24"/>
          <w:szCs w:val="24"/>
        </w:rPr>
        <w:t>и</w:t>
      </w:r>
      <w:proofErr w:type="gramEnd"/>
      <w:r w:rsidR="00CD6BAF" w:rsidRPr="00613DDD">
        <w:rPr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lastRenderedPageBreak/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</w:t>
      </w:r>
      <w:r w:rsidR="00062FC3">
        <w:rPr>
          <w:sz w:val="24"/>
          <w:szCs w:val="24"/>
        </w:rPr>
        <w:t>и Службой главного архитектора.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</w:t>
      </w:r>
      <w:r w:rsidR="001D1C8B">
        <w:rPr>
          <w:sz w:val="24"/>
          <w:szCs w:val="24"/>
          <w:lang w:eastAsia="ar-SA"/>
        </w:rPr>
        <w:t xml:space="preserve"> на территории городского округа Домодедово, утверждены решением Совета депутатов городского округа Домодедово от 11.12.2017 №1-4/849.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lastRenderedPageBreak/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 xml:space="preserve">размещаемым на </w:t>
      </w:r>
      <w:r w:rsidR="001D1C8B">
        <w:rPr>
          <w:sz w:val="24"/>
        </w:rPr>
        <w:t xml:space="preserve">официальном </w:t>
      </w:r>
      <w:r w:rsidR="00121074" w:rsidRPr="00613DDD">
        <w:rPr>
          <w:sz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B32CA">
        <w:rPr>
          <w:sz w:val="24"/>
        </w:rPr>
        <w:t xml:space="preserve"> </w:t>
      </w:r>
      <w:r w:rsidR="001D1C8B">
        <w:rPr>
          <w:sz w:val="24"/>
        </w:rPr>
        <w:t>в сети «Интернет»</w:t>
      </w:r>
      <w:r w:rsidR="00121074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</w:t>
      </w:r>
      <w:r w:rsidR="001D1C8B">
        <w:rPr>
          <w:sz w:val="24"/>
        </w:rPr>
        <w:t xml:space="preserve">официальном </w:t>
      </w:r>
      <w:r w:rsidR="008E5EED" w:rsidRPr="00613DDD">
        <w:rPr>
          <w:sz w:val="24"/>
        </w:rPr>
        <w:t xml:space="preserve">сайте </w:t>
      </w:r>
      <w:r w:rsidR="00124E6D">
        <w:rPr>
          <w:sz w:val="24"/>
          <w:szCs w:val="24"/>
        </w:rPr>
        <w:t>городского округа Домодедово</w:t>
      </w:r>
      <w:r w:rsidR="001D1C8B">
        <w:rPr>
          <w:sz w:val="24"/>
        </w:rPr>
        <w:t xml:space="preserve"> в сети «Интернет»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lastRenderedPageBreak/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</w:t>
      </w:r>
      <w:r w:rsidR="001D1C8B">
        <w:rPr>
          <w:sz w:val="24"/>
          <w:szCs w:val="24"/>
        </w:rPr>
        <w:t xml:space="preserve"> 12 минут.</w:t>
      </w:r>
      <w:r w:rsidR="008E5C81" w:rsidRPr="00613DDD">
        <w:rPr>
          <w:sz w:val="24"/>
          <w:szCs w:val="24"/>
        </w:rPr>
        <w:t xml:space="preserve"> 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D1C8B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независимо от его места жительства или места </w:t>
      </w:r>
      <w:r w:rsidRPr="00613DDD">
        <w:rPr>
          <w:rFonts w:ascii="Times New Roman" w:hAnsi="Times New Roman"/>
          <w:sz w:val="24"/>
          <w:szCs w:val="24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рием проводится при личном обращении гражданина или с использованием средств телефонной связи, а также через сеть </w:t>
      </w:r>
      <w:r w:rsidR="00E70C30">
        <w:rPr>
          <w:rFonts w:ascii="Times New Roman" w:hAnsi="Times New Roman" w:cs="Times New Roman"/>
          <w:sz w:val="24"/>
          <w:szCs w:val="24"/>
        </w:rPr>
        <w:t>«</w:t>
      </w:r>
      <w:r w:rsidR="0084606C" w:rsidRPr="00613DDD">
        <w:rPr>
          <w:rFonts w:ascii="Times New Roman" w:hAnsi="Times New Roman" w:cs="Times New Roman"/>
          <w:sz w:val="24"/>
          <w:szCs w:val="24"/>
        </w:rPr>
        <w:t>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</w:t>
      </w:r>
      <w:r w:rsidR="00E70C30">
        <w:rPr>
          <w:rFonts w:ascii="Times New Roman" w:hAnsi="Times New Roman" w:cs="Times New Roman"/>
          <w:sz w:val="24"/>
          <w:szCs w:val="24"/>
        </w:rPr>
        <w:t>»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70C3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9398C" w:rsidRPr="00613DDD">
        <w:rPr>
          <w:rFonts w:ascii="Times New Roman" w:hAnsi="Times New Roman" w:cs="Times New Roman"/>
          <w:sz w:val="24"/>
          <w:szCs w:val="24"/>
        </w:rPr>
        <w:t>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E70C3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70C30">
        <w:rPr>
          <w:sz w:val="24"/>
          <w:szCs w:val="24"/>
        </w:rPr>
        <w:t xml:space="preserve">- </w:t>
      </w:r>
      <w:r w:rsidRPr="00613DD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 xml:space="preserve">о выбору Заявителя  независимо от его места </w:t>
      </w:r>
      <w:r w:rsidRPr="001278EC">
        <w:rPr>
          <w:rFonts w:ascii="Times New Roman" w:hAnsi="Times New Roman"/>
          <w:sz w:val="24"/>
          <w:szCs w:val="24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</w:t>
      </w:r>
      <w:r w:rsidR="00A00B4D">
        <w:rPr>
          <w:rFonts w:ascii="Times New Roman" w:hAnsi="Times New Roman"/>
          <w:sz w:val="24"/>
          <w:szCs w:val="24"/>
        </w:rPr>
        <w:t xml:space="preserve">официально </w:t>
      </w:r>
      <w:r w:rsidRPr="001278EC">
        <w:rPr>
          <w:rFonts w:ascii="Times New Roman" w:hAnsi="Times New Roman"/>
          <w:sz w:val="24"/>
          <w:szCs w:val="24"/>
        </w:rPr>
        <w:t xml:space="preserve">сайте </w:t>
      </w:r>
      <w:r w:rsidR="0020008E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1278EC">
        <w:rPr>
          <w:rFonts w:ascii="Times New Roman" w:hAnsi="Times New Roman"/>
          <w:sz w:val="24"/>
          <w:szCs w:val="24"/>
        </w:rPr>
        <w:t xml:space="preserve">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  <w:bookmarkStart w:id="182" w:name="_GoBack"/>
      <w:bookmarkEnd w:id="182"/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2D2">
        <w:rPr>
          <w:rFonts w:ascii="Times New Roman" w:hAnsi="Times New Roman"/>
          <w:sz w:val="24"/>
          <w:szCs w:val="24"/>
        </w:rPr>
        <w:t>6</w:t>
      </w:r>
      <w:r w:rsidR="0021792A" w:rsidRPr="00E052D2">
        <w:rPr>
          <w:rFonts w:ascii="Times New Roman" w:hAnsi="Times New Roman"/>
          <w:sz w:val="24"/>
          <w:szCs w:val="24"/>
        </w:rPr>
        <w:t xml:space="preserve">) </w:t>
      </w:r>
      <w:r w:rsidR="00243A2E" w:rsidRPr="00E052D2">
        <w:rPr>
          <w:rFonts w:ascii="Times New Roman" w:hAnsi="Times New Roman"/>
          <w:sz w:val="24"/>
          <w:szCs w:val="24"/>
        </w:rPr>
        <w:t>принятие</w:t>
      </w:r>
      <w:r w:rsidR="00243A2E" w:rsidRPr="00613DDD">
        <w:rPr>
          <w:rFonts w:ascii="Times New Roman" w:hAnsi="Times New Roman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12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E052D2" w:rsidRPr="00613DDD" w:rsidRDefault="002A2310" w:rsidP="00E052D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</w:t>
      </w:r>
      <w:r w:rsidR="00E052D2" w:rsidRPr="00613DDD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2A2310" w:rsidRPr="00BB71CE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BE158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официального сайта Правительства Московской области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Администрации, МФЦ, учредителя МФЦ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D552C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B53B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B53BD">
        <w:rPr>
          <w:rFonts w:ascii="Times New Roman" w:hAnsi="Times New Roman" w:cs="Times New Roman"/>
          <w:sz w:val="24"/>
          <w:szCs w:val="24"/>
        </w:rPr>
        <w:t>Постановление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B53BD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от 31.07.2017 № 2756 «Об утверждении Схемы размещения рекламных конструкций на территории городского округа Домодедово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Pr="00613DD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Default="001E60E8">
      <w:pPr>
        <w:pStyle w:val="affffa"/>
        <w:spacing w:after="0"/>
        <w:rPr>
          <w:b w:val="0"/>
        </w:rPr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Pr="00EB53BD" w:rsidRDefault="00EB53BD" w:rsidP="00EB53BD">
      <w:pPr>
        <w:pStyle w:val="2-"/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</w:t>
      </w:r>
      <w:r w:rsidR="00EB53BD" w:rsidRPr="00613DDD">
        <w:t>________________________</w:t>
      </w:r>
      <w:r w:rsidRPr="00613DDD">
        <w:t xml:space="preserve">____ </w:t>
      </w:r>
      <w:r w:rsidR="00EB53BD">
        <w:t xml:space="preserve">                                                </w:t>
      </w:r>
      <w:r w:rsidRPr="00613DDD">
        <w:t>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EB53BD" w:rsidRPr="00613DDD" w:rsidRDefault="00EB53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lastRenderedPageBreak/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Документы, относящиеся к техническому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  <w:r w:rsidR="008F5F26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1B6E98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</w:t>
            </w:r>
            <w:proofErr w:type="gramEnd"/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  <w:proofErr w:type="gramStart"/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proofErr w:type="gramEnd"/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</w:t>
            </w:r>
            <w:proofErr w:type="gramStart"/>
            <w:r w:rsidRPr="00613DDD">
              <w:rPr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613DDD">
              <w:rPr>
                <w:sz w:val="24"/>
                <w:szCs w:val="24"/>
              </w:rPr>
              <w:t xml:space="preserve">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оказания услуг ЕИС ОУ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документа у ФОИВ и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критериев предоставления Муниципальной услуги, установленных настоящим Административным регламентом определяет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proofErr w:type="gramStart"/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ED" w:rsidRDefault="00B542ED" w:rsidP="005F1EAE">
      <w:pPr>
        <w:spacing w:after="0" w:line="240" w:lineRule="auto"/>
      </w:pPr>
      <w:r>
        <w:separator/>
      </w:r>
    </w:p>
  </w:endnote>
  <w:endnote w:type="continuationSeparator" w:id="0">
    <w:p w:rsidR="00B542ED" w:rsidRDefault="00B542ED" w:rsidP="005F1EAE">
      <w:pPr>
        <w:spacing w:after="0" w:line="240" w:lineRule="auto"/>
      </w:pPr>
      <w:r>
        <w:continuationSeparator/>
      </w:r>
    </w:p>
  </w:endnote>
  <w:endnote w:type="continuationNotice" w:id="1">
    <w:p w:rsidR="00B542ED" w:rsidRDefault="00B54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D" w:rsidRDefault="00B542ED" w:rsidP="00461595">
    <w:pPr>
      <w:pStyle w:val="aa"/>
      <w:jc w:val="center"/>
    </w:pPr>
  </w:p>
  <w:p w:rsidR="00B542ED" w:rsidRDefault="00B542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D" w:rsidRDefault="00B542ED" w:rsidP="00A55FBB">
    <w:pPr>
      <w:pStyle w:val="aa"/>
      <w:framePr w:wrap="none" w:vAnchor="text" w:hAnchor="margin" w:xAlign="right" w:y="1"/>
      <w:rPr>
        <w:rStyle w:val="af5"/>
      </w:rPr>
    </w:pPr>
  </w:p>
  <w:p w:rsidR="00B542ED" w:rsidRPr="00FF3AC8" w:rsidRDefault="00B542E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ED" w:rsidRDefault="00B542ED" w:rsidP="005F1EAE">
      <w:pPr>
        <w:spacing w:after="0" w:line="240" w:lineRule="auto"/>
      </w:pPr>
      <w:r>
        <w:separator/>
      </w:r>
    </w:p>
  </w:footnote>
  <w:footnote w:type="continuationSeparator" w:id="0">
    <w:p w:rsidR="00B542ED" w:rsidRDefault="00B542ED" w:rsidP="005F1EAE">
      <w:pPr>
        <w:spacing w:after="0" w:line="240" w:lineRule="auto"/>
      </w:pPr>
      <w:r>
        <w:continuationSeparator/>
      </w:r>
    </w:p>
  </w:footnote>
  <w:footnote w:type="continuationNotice" w:id="1">
    <w:p w:rsidR="00B542ED" w:rsidRDefault="00B54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Content>
      <w:p w:rsidR="00B542ED" w:rsidRDefault="00B542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4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542ED" w:rsidRDefault="00B542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76687"/>
      <w:docPartObj>
        <w:docPartGallery w:val="Page Numbers (Top of Page)"/>
        <w:docPartUnique/>
      </w:docPartObj>
    </w:sdtPr>
    <w:sdtContent>
      <w:p w:rsidR="00AF5E58" w:rsidRDefault="00AF5E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4D">
          <w:rPr>
            <w:noProof/>
          </w:rPr>
          <w:t>54</w:t>
        </w:r>
        <w:r>
          <w:fldChar w:fldCharType="end"/>
        </w:r>
      </w:p>
    </w:sdtContent>
  </w:sdt>
  <w:p w:rsidR="00B542ED" w:rsidRPr="00E57E03" w:rsidRDefault="00B542ED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2FC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4E6D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E98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1C8B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08E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17E6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2691"/>
    <w:rsid w:val="004B6465"/>
    <w:rsid w:val="004B6731"/>
    <w:rsid w:val="004B73BA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1567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4AB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2532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3B3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F2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B4D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5E58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2ED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52C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58D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43B6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7D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2E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2D2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0C30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2CA"/>
    <w:rsid w:val="00EB3B94"/>
    <w:rsid w:val="00EB4473"/>
    <w:rsid w:val="00EB46D5"/>
    <w:rsid w:val="00EB53BD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2E20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BD3FF-EB74-44DA-9737-A87D5730C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284B9-A0D5-44FE-92D3-146002C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64</Pages>
  <Words>20806</Words>
  <Characters>118598</Characters>
  <Application>Microsoft Office Word</Application>
  <DocSecurity>0</DocSecurity>
  <Lines>988</Lines>
  <Paragraphs>278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139126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Воробьева Т.Ю.</cp:lastModifiedBy>
  <cp:revision>18</cp:revision>
  <cp:lastPrinted>2019-11-13T13:00:00Z</cp:lastPrinted>
  <dcterms:created xsi:type="dcterms:W3CDTF">2019-11-13T07:35:00Z</dcterms:created>
  <dcterms:modified xsi:type="dcterms:W3CDTF">2019-11-15T07:27:00Z</dcterms:modified>
</cp:coreProperties>
</file>